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3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5040"/>
        <w:gridCol w:w="3141"/>
      </w:tblGrid>
      <w:tr w:rsidR="001B15F1" w14:paraId="4897CF00" w14:textId="77777777" w:rsidTr="00CE4C87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76D26B6" w14:textId="77777777" w:rsidR="00A42AB5" w:rsidRDefault="00A42AB5" w:rsidP="000E67FB">
            <w:pPr>
              <w:ind w:right="16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</w:p>
          <w:p w14:paraId="7172D5AD" w14:textId="77777777" w:rsidR="001B15F1" w:rsidRPr="00217747" w:rsidRDefault="00A42AB5" w:rsidP="000E67FB">
            <w:pPr>
              <w:ind w:right="16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18"/>
              </w:rPr>
              <w:t>J</w:t>
            </w:r>
            <w:r w:rsidR="001B15F1"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>ed Davis</w:t>
            </w:r>
          </w:p>
          <w:p w14:paraId="5D7C4B93" w14:textId="77777777" w:rsidR="001B15F1" w:rsidRPr="00217747" w:rsidRDefault="001B15F1" w:rsidP="000E67FB">
            <w:pPr>
              <w:jc w:val="both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>(Maine and New York)</w:t>
            </w:r>
          </w:p>
          <w:p w14:paraId="046C3ED1" w14:textId="77777777" w:rsidR="00D6470C" w:rsidRPr="00217747" w:rsidRDefault="00D6470C" w:rsidP="000E67FB">
            <w:pPr>
              <w:ind w:right="16" w:firstLine="792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</w:p>
          <w:p w14:paraId="47B2876E" w14:textId="77777777" w:rsidR="00217747" w:rsidRPr="00217747" w:rsidRDefault="00217747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>Elizabeth Mitchell</w:t>
            </w:r>
          </w:p>
          <w:p w14:paraId="270266F2" w14:textId="77777777" w:rsidR="00217747" w:rsidRPr="00217747" w:rsidRDefault="00217747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 xml:space="preserve">     of Counsel</w:t>
            </w:r>
          </w:p>
          <w:p w14:paraId="22341F8B" w14:textId="77777777" w:rsidR="00217747" w:rsidRPr="00217747" w:rsidRDefault="00217747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</w:p>
          <w:p w14:paraId="44AAD1DE" w14:textId="77777777" w:rsidR="00217747" w:rsidRPr="00217747" w:rsidRDefault="00217747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>Aglaia Davis</w:t>
            </w:r>
          </w:p>
          <w:p w14:paraId="6841F83B" w14:textId="77777777" w:rsidR="00217747" w:rsidRDefault="00217747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bCs/>
                <w:i/>
                <w:iCs/>
                <w:sz w:val="18"/>
              </w:rPr>
              <w:t xml:space="preserve">     of Counsel</w:t>
            </w:r>
          </w:p>
          <w:p w14:paraId="45DCCD52" w14:textId="77777777" w:rsidR="00D5783D" w:rsidRPr="00217747" w:rsidRDefault="00D5783D" w:rsidP="000E67FB">
            <w:pPr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18"/>
              </w:rPr>
              <w:t xml:space="preserve">    (</w:t>
            </w:r>
            <w:r w:rsidR="00CE558D">
              <w:rPr>
                <w:rFonts w:ascii="Book Antiqua" w:hAnsi="Book Antiqua"/>
                <w:b/>
                <w:bCs/>
                <w:i/>
                <w:iCs/>
                <w:sz w:val="18"/>
              </w:rPr>
              <w:t xml:space="preserve">New Jersey and </w:t>
            </w:r>
            <w:r>
              <w:rPr>
                <w:rFonts w:ascii="Book Antiqua" w:hAnsi="Book Antiqua"/>
                <w:b/>
                <w:bCs/>
                <w:i/>
                <w:iCs/>
                <w:sz w:val="18"/>
              </w:rPr>
              <w:t>New York)</w:t>
            </w:r>
          </w:p>
          <w:p w14:paraId="42BD8D1E" w14:textId="77777777" w:rsidR="001B15F1" w:rsidRPr="00217747" w:rsidRDefault="001B15F1" w:rsidP="000E67FB">
            <w:pPr>
              <w:ind w:right="16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</w:p>
          <w:p w14:paraId="7CDB98ED" w14:textId="77777777" w:rsidR="001B15F1" w:rsidRPr="00217747" w:rsidRDefault="00F73FF8" w:rsidP="000E67FB">
            <w:pPr>
              <w:ind w:right="16"/>
              <w:rPr>
                <w:rFonts w:ascii="Book Antiqua" w:hAnsi="Book Antiqua"/>
                <w:b/>
                <w:bCs/>
                <w:i/>
                <w:iCs/>
                <w:sz w:val="1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18"/>
              </w:rPr>
              <w:t>Jennifer M. Bryant</w:t>
            </w:r>
          </w:p>
          <w:p w14:paraId="0F86C4EC" w14:textId="77777777" w:rsidR="00D6470C" w:rsidRPr="00217747" w:rsidRDefault="00D6470C" w:rsidP="000E67FB">
            <w:pPr>
              <w:rPr>
                <w:rFonts w:ascii="Monotype Corsiva" w:hAnsi="Monotype Corsiva"/>
                <w:b/>
                <w:bCs/>
                <w:i/>
                <w:iCs/>
                <w:sz w:val="3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03D38EC" w14:textId="77777777" w:rsidR="001B15F1" w:rsidRPr="00217747" w:rsidRDefault="00217747" w:rsidP="000E67FB">
            <w:pPr>
              <w:jc w:val="center"/>
              <w:rPr>
                <w:rFonts w:ascii="Monotype Corsiva" w:hAnsi="Monotype Corsiva"/>
                <w:bCs/>
                <w:i/>
                <w:iCs/>
                <w:sz w:val="36"/>
              </w:rPr>
            </w:pPr>
            <w:r w:rsidRPr="00217747">
              <w:rPr>
                <w:rFonts w:ascii="Monotype Corsiva" w:hAnsi="Monotype Corsiva"/>
                <w:bCs/>
                <w:i/>
                <w:iCs/>
                <w:sz w:val="36"/>
              </w:rPr>
              <w:t xml:space="preserve">Jim Mitchell and </w:t>
            </w:r>
            <w:r w:rsidR="001B15F1" w:rsidRPr="00217747">
              <w:rPr>
                <w:rFonts w:ascii="Monotype Corsiva" w:hAnsi="Monotype Corsiva"/>
                <w:bCs/>
                <w:i/>
                <w:iCs/>
                <w:sz w:val="36"/>
              </w:rPr>
              <w:t>Jed Davis, P.A.</w:t>
            </w:r>
          </w:p>
          <w:p w14:paraId="07BD8F81" w14:textId="77777777" w:rsidR="001B15F1" w:rsidRPr="00217747" w:rsidRDefault="001B15F1" w:rsidP="000E67FB">
            <w:pPr>
              <w:jc w:val="center"/>
              <w:rPr>
                <w:rFonts w:ascii="Monotype Corsiva" w:hAnsi="Monotype Corsiva"/>
                <w:bCs/>
                <w:i/>
                <w:iCs/>
                <w:sz w:val="32"/>
              </w:rPr>
            </w:pPr>
            <w:r w:rsidRPr="00217747">
              <w:rPr>
                <w:rFonts w:ascii="Monotype Corsiva" w:hAnsi="Monotype Corsiva"/>
                <w:bCs/>
                <w:i/>
                <w:iCs/>
                <w:sz w:val="32"/>
              </w:rPr>
              <w:t>Lawyers</w:t>
            </w:r>
          </w:p>
          <w:p w14:paraId="0E36EC35" w14:textId="77777777" w:rsidR="001B15F1" w:rsidRPr="00217747" w:rsidRDefault="001B15F1" w:rsidP="000E67FB">
            <w:pPr>
              <w:jc w:val="center"/>
              <w:rPr>
                <w:rFonts w:ascii="Monotype Corsiva" w:hAnsi="Monotype Corsiva"/>
                <w:bCs/>
                <w:i/>
                <w:iCs/>
                <w:sz w:val="32"/>
              </w:rPr>
            </w:pPr>
            <w:r w:rsidRPr="00217747">
              <w:rPr>
                <w:rFonts w:ascii="Monotype Corsiva" w:hAnsi="Monotype Corsiva"/>
                <w:bCs/>
                <w:i/>
                <w:iCs/>
                <w:sz w:val="32"/>
              </w:rPr>
              <w:t>86 Winthrop Street, Suite 1</w:t>
            </w:r>
          </w:p>
          <w:p w14:paraId="6C106466" w14:textId="77777777" w:rsidR="001B15F1" w:rsidRPr="00217747" w:rsidRDefault="001B15F1" w:rsidP="000E67FB">
            <w:pPr>
              <w:jc w:val="center"/>
              <w:rPr>
                <w:rFonts w:ascii="Monotype Corsiva" w:hAnsi="Monotype Corsiva"/>
                <w:bCs/>
                <w:i/>
                <w:iCs/>
                <w:sz w:val="32"/>
              </w:rPr>
            </w:pPr>
            <w:r w:rsidRPr="00217747">
              <w:rPr>
                <w:rFonts w:ascii="Monotype Corsiva" w:hAnsi="Monotype Corsiva"/>
                <w:bCs/>
                <w:i/>
                <w:iCs/>
                <w:sz w:val="32"/>
              </w:rPr>
              <w:t>Augusta, Maine 04330</w:t>
            </w:r>
          </w:p>
          <w:p w14:paraId="4BE89145" w14:textId="77777777" w:rsidR="001B15F1" w:rsidRPr="00217747" w:rsidRDefault="001B15F1" w:rsidP="000E67FB">
            <w:pPr>
              <w:jc w:val="center"/>
              <w:rPr>
                <w:rFonts w:ascii="Monotype Corsiva" w:hAnsi="Monotype Corsiva"/>
                <w:bCs/>
                <w:i/>
                <w:iCs/>
                <w:sz w:val="22"/>
              </w:rPr>
            </w:pPr>
            <w:r w:rsidRPr="00217747">
              <w:rPr>
                <w:rFonts w:ascii="Monotype Corsiva" w:hAnsi="Monotype Corsiva"/>
                <w:bCs/>
                <w:i/>
                <w:iCs/>
              </w:rPr>
              <w:t>(</w:t>
            </w:r>
            <w:r w:rsidRPr="00217747">
              <w:rPr>
                <w:rFonts w:ascii="Monotype Corsiva" w:hAnsi="Monotype Corsiva"/>
                <w:bCs/>
                <w:i/>
                <w:iCs/>
                <w:sz w:val="22"/>
              </w:rPr>
              <w:t>207) 622-6339; 1-</w:t>
            </w:r>
            <w:r w:rsidR="00DB0A1A">
              <w:rPr>
                <w:rFonts w:ascii="Monotype Corsiva" w:hAnsi="Monotype Corsiva"/>
                <w:bCs/>
                <w:i/>
                <w:iCs/>
                <w:sz w:val="22"/>
              </w:rPr>
              <w:t>888-611-4823</w:t>
            </w:r>
          </w:p>
          <w:p w14:paraId="3419D36B" w14:textId="77777777" w:rsidR="001B15F1" w:rsidRPr="00217747" w:rsidRDefault="001B15F1" w:rsidP="000E67FB">
            <w:pPr>
              <w:jc w:val="center"/>
              <w:rPr>
                <w:rFonts w:ascii="Monotype Corsiva" w:hAnsi="Monotype Corsiva"/>
                <w:bCs/>
                <w:i/>
                <w:iCs/>
              </w:rPr>
            </w:pPr>
            <w:r w:rsidRPr="00217747">
              <w:rPr>
                <w:rFonts w:ascii="Monotype Corsiva" w:hAnsi="Monotype Corsiva"/>
                <w:bCs/>
                <w:i/>
                <w:iCs/>
                <w:sz w:val="22"/>
              </w:rPr>
              <w:t>Fax (207) 622-6549</w:t>
            </w:r>
          </w:p>
          <w:p w14:paraId="5DD0710F" w14:textId="77777777" w:rsidR="00217747" w:rsidRPr="00217747" w:rsidRDefault="00217747" w:rsidP="00BC4136">
            <w:pPr>
              <w:pStyle w:val="Heading4"/>
              <w:ind w:right="0"/>
              <w:jc w:val="center"/>
              <w:rPr>
                <w:b w:val="0"/>
              </w:rPr>
            </w:pPr>
          </w:p>
          <w:p w14:paraId="208E2757" w14:textId="77777777" w:rsidR="001B15F1" w:rsidRPr="00217747" w:rsidRDefault="00D6470C" w:rsidP="00CE558D">
            <w:pPr>
              <w:pStyle w:val="Heading4"/>
              <w:ind w:right="0"/>
              <w:jc w:val="center"/>
              <w:rPr>
                <w:rFonts w:ascii="Book Antiqua" w:hAnsi="Book Antiqua"/>
              </w:rPr>
            </w:pPr>
            <w:r w:rsidRPr="00217747">
              <w:rPr>
                <w:rFonts w:ascii="Book Antiqua" w:hAnsi="Book Antiqua"/>
                <w:b w:val="0"/>
              </w:rPr>
              <w:t xml:space="preserve">Email: </w:t>
            </w:r>
            <w:r w:rsidR="00217747" w:rsidRPr="00217747">
              <w:rPr>
                <w:rFonts w:ascii="Book Antiqua" w:hAnsi="Book Antiqua"/>
                <w:b w:val="0"/>
              </w:rPr>
              <w:t>J</w:t>
            </w:r>
            <w:r w:rsidRPr="00217747">
              <w:rPr>
                <w:rFonts w:ascii="Book Antiqua" w:hAnsi="Book Antiqua"/>
                <w:b w:val="0"/>
              </w:rPr>
              <w:t xml:space="preserve">ed, </w:t>
            </w:r>
            <w:r w:rsidR="00217747" w:rsidRPr="00217747">
              <w:rPr>
                <w:rFonts w:ascii="Book Antiqua" w:hAnsi="Book Antiqua"/>
                <w:b w:val="0"/>
              </w:rPr>
              <w:t>Aglaia</w:t>
            </w:r>
            <w:r w:rsidR="00F73FF8">
              <w:rPr>
                <w:rFonts w:ascii="Book Antiqua" w:hAnsi="Book Antiqua"/>
                <w:b w:val="0"/>
              </w:rPr>
              <w:t xml:space="preserve"> or Jennifer</w:t>
            </w:r>
            <w:r w:rsidR="00217747" w:rsidRPr="00217747">
              <w:rPr>
                <w:rFonts w:ascii="Book Antiqua" w:hAnsi="Book Antiqua"/>
                <w:b w:val="0"/>
              </w:rPr>
              <w:t xml:space="preserve"> </w:t>
            </w:r>
            <w:r w:rsidR="001B15F1" w:rsidRPr="00217747">
              <w:rPr>
                <w:rFonts w:ascii="Book Antiqua" w:hAnsi="Book Antiqua"/>
                <w:b w:val="0"/>
              </w:rPr>
              <w:t>@mitchellanddavis.com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0887F4BF" w14:textId="77777777" w:rsidR="00217747" w:rsidRPr="00217747" w:rsidRDefault="00217747" w:rsidP="000E67FB">
            <w:pPr>
              <w:pStyle w:val="Heading3"/>
              <w:jc w:val="center"/>
              <w:rPr>
                <w:rFonts w:ascii="Book Antiqua" w:hAnsi="Book Antiqua"/>
                <w:i/>
                <w:iCs/>
                <w:sz w:val="18"/>
              </w:rPr>
            </w:pPr>
          </w:p>
          <w:p w14:paraId="62C50971" w14:textId="77777777" w:rsidR="00217747" w:rsidRPr="00217747" w:rsidRDefault="00217747" w:rsidP="000E67FB">
            <w:pPr>
              <w:pStyle w:val="Heading3"/>
              <w:jc w:val="center"/>
              <w:rPr>
                <w:rFonts w:ascii="Book Antiqua" w:hAnsi="Book Antiqua"/>
                <w:i/>
                <w:iCs/>
                <w:sz w:val="18"/>
              </w:rPr>
            </w:pPr>
          </w:p>
          <w:p w14:paraId="3C082DE2" w14:textId="77777777" w:rsidR="00217747" w:rsidRPr="00217747" w:rsidRDefault="00217747" w:rsidP="00217747">
            <w:pPr>
              <w:pStyle w:val="Heading3"/>
              <w:ind w:right="333"/>
              <w:jc w:val="right"/>
              <w:rPr>
                <w:rFonts w:ascii="Book Antiqua" w:hAnsi="Book Antiqua"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i/>
                <w:iCs/>
                <w:sz w:val="18"/>
              </w:rPr>
              <w:t>In memory of Philip Davis</w:t>
            </w:r>
          </w:p>
          <w:p w14:paraId="20D51E48" w14:textId="77777777" w:rsidR="001B15F1" w:rsidRPr="00217747" w:rsidRDefault="001B15F1" w:rsidP="00217747">
            <w:pPr>
              <w:ind w:right="333"/>
              <w:jc w:val="right"/>
              <w:rPr>
                <w:rFonts w:ascii="Book Antiqua" w:hAnsi="Book Antiqua"/>
                <w:b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i/>
                <w:iCs/>
                <w:sz w:val="18"/>
              </w:rPr>
              <w:t>19</w:t>
            </w:r>
            <w:r w:rsidR="00217747" w:rsidRPr="00217747">
              <w:rPr>
                <w:rFonts w:ascii="Book Antiqua" w:hAnsi="Book Antiqua"/>
                <w:b/>
                <w:i/>
                <w:iCs/>
                <w:sz w:val="18"/>
              </w:rPr>
              <w:t>08 – 1998</w:t>
            </w:r>
          </w:p>
          <w:p w14:paraId="2AF76834" w14:textId="77777777" w:rsidR="00217747" w:rsidRPr="00217747" w:rsidRDefault="00217747" w:rsidP="00217747">
            <w:pPr>
              <w:ind w:right="333"/>
              <w:jc w:val="right"/>
              <w:rPr>
                <w:rFonts w:ascii="Book Antiqua" w:hAnsi="Book Antiqua"/>
                <w:b/>
                <w:i/>
                <w:iCs/>
                <w:sz w:val="18"/>
              </w:rPr>
            </w:pPr>
          </w:p>
          <w:p w14:paraId="706567A2" w14:textId="77777777" w:rsidR="00217747" w:rsidRPr="00217747" w:rsidRDefault="00217747" w:rsidP="00217747">
            <w:pPr>
              <w:ind w:right="333"/>
              <w:jc w:val="right"/>
              <w:rPr>
                <w:rFonts w:ascii="Book Antiqua" w:hAnsi="Book Antiqua"/>
                <w:b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i/>
                <w:iCs/>
                <w:sz w:val="18"/>
              </w:rPr>
              <w:t>In memory of James E. Mitchell</w:t>
            </w:r>
          </w:p>
          <w:p w14:paraId="7D459C65" w14:textId="77777777" w:rsidR="00217747" w:rsidRPr="00217747" w:rsidRDefault="00217747" w:rsidP="00217747">
            <w:pPr>
              <w:ind w:right="333"/>
              <w:jc w:val="right"/>
              <w:rPr>
                <w:rFonts w:ascii="Book Antiqua" w:hAnsi="Book Antiqua"/>
                <w:b/>
                <w:i/>
                <w:iCs/>
                <w:sz w:val="18"/>
              </w:rPr>
            </w:pPr>
            <w:r w:rsidRPr="00217747">
              <w:rPr>
                <w:rFonts w:ascii="Book Antiqua" w:hAnsi="Book Antiqua"/>
                <w:b/>
                <w:i/>
                <w:iCs/>
                <w:sz w:val="18"/>
              </w:rPr>
              <w:t>1941 – 2016</w:t>
            </w:r>
          </w:p>
          <w:p w14:paraId="728DDA48" w14:textId="77777777" w:rsidR="001B15F1" w:rsidRPr="00217747" w:rsidRDefault="001B15F1">
            <w:pPr>
              <w:ind w:right="-108"/>
              <w:jc w:val="right"/>
              <w:rPr>
                <w:rFonts w:ascii="Book Antiqua" w:hAnsi="Book Antiqua"/>
                <w:b/>
                <w:i/>
                <w:iCs/>
                <w:sz w:val="18"/>
              </w:rPr>
            </w:pPr>
          </w:p>
          <w:p w14:paraId="46FBE548" w14:textId="77777777" w:rsidR="001B15F1" w:rsidRPr="00217747" w:rsidRDefault="001B15F1">
            <w:pPr>
              <w:ind w:right="-108"/>
              <w:jc w:val="right"/>
              <w:rPr>
                <w:rFonts w:ascii="Monotype Corsiva" w:hAnsi="Monotype Corsiva"/>
                <w:b/>
                <w:bCs/>
                <w:i/>
                <w:iCs/>
                <w:sz w:val="18"/>
              </w:rPr>
            </w:pPr>
          </w:p>
        </w:tc>
      </w:tr>
    </w:tbl>
    <w:p w14:paraId="02ED16A9" w14:textId="3E68BDAE" w:rsidR="0041457D" w:rsidRDefault="00210E9F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05B9D">
        <w:rPr>
          <w:rFonts w:ascii="Bookman Old Style" w:hAnsi="Bookman Old Style"/>
        </w:rPr>
        <w:t>June 1</w:t>
      </w:r>
      <w:r w:rsidR="004B27AD">
        <w:rPr>
          <w:rFonts w:ascii="Bookman Old Style" w:hAnsi="Bookman Old Style"/>
        </w:rPr>
        <w:t>6</w:t>
      </w:r>
      <w:r w:rsidR="00B05B9D">
        <w:rPr>
          <w:rFonts w:ascii="Bookman Old Style" w:hAnsi="Bookman Old Style"/>
        </w:rPr>
        <w:t>, 2021</w:t>
      </w:r>
    </w:p>
    <w:p w14:paraId="3EEBD68B" w14:textId="789278C5" w:rsidR="0089724E" w:rsidRDefault="0089724E" w:rsidP="0041457D">
      <w:pPr>
        <w:rPr>
          <w:rFonts w:ascii="Bookman Old Style" w:hAnsi="Bookman Old Style"/>
        </w:rPr>
      </w:pPr>
    </w:p>
    <w:p w14:paraId="190384DB" w14:textId="77777777" w:rsidR="0089724E" w:rsidRPr="0089724E" w:rsidRDefault="0089724E" w:rsidP="0089724E">
      <w:pPr>
        <w:rPr>
          <w:rFonts w:ascii="Bookman Old Style" w:hAnsi="Bookman Old Style"/>
        </w:rPr>
      </w:pPr>
      <w:r w:rsidRPr="0089724E">
        <w:rPr>
          <w:rFonts w:ascii="Bookman Old Style" w:hAnsi="Bookman Old Style"/>
        </w:rPr>
        <w:t>Social Security Administration</w:t>
      </w:r>
    </w:p>
    <w:p w14:paraId="370C85C6" w14:textId="0A579AED" w:rsidR="0089724E" w:rsidRPr="0089724E" w:rsidRDefault="0089724E" w:rsidP="0089724E">
      <w:pPr>
        <w:rPr>
          <w:rFonts w:ascii="Bookman Old Style" w:hAnsi="Bookman Old Style"/>
        </w:rPr>
      </w:pPr>
      <w:r w:rsidRPr="0089724E">
        <w:rPr>
          <w:rFonts w:ascii="Bookman Old Style" w:hAnsi="Bookman Old Style"/>
        </w:rPr>
        <w:t xml:space="preserve">Office of </w:t>
      </w:r>
      <w:r w:rsidR="00EE0202">
        <w:rPr>
          <w:rFonts w:ascii="Bookman Old Style" w:hAnsi="Bookman Old Style"/>
        </w:rPr>
        <w:t>Central Operations</w:t>
      </w:r>
    </w:p>
    <w:p w14:paraId="7674C9F4" w14:textId="3D04F845" w:rsidR="0089724E" w:rsidRPr="0089724E" w:rsidRDefault="0089724E" w:rsidP="0089724E">
      <w:pPr>
        <w:rPr>
          <w:rFonts w:ascii="Bookman Old Style" w:hAnsi="Bookman Old Style"/>
        </w:rPr>
      </w:pPr>
      <w:r w:rsidRPr="0089724E">
        <w:rPr>
          <w:rFonts w:ascii="Bookman Old Style" w:hAnsi="Bookman Old Style"/>
        </w:rPr>
        <w:t>1</w:t>
      </w:r>
      <w:r w:rsidR="00EE0202">
        <w:rPr>
          <w:rFonts w:ascii="Bookman Old Style" w:hAnsi="Bookman Old Style"/>
        </w:rPr>
        <w:t>5</w:t>
      </w:r>
      <w:r w:rsidRPr="0089724E">
        <w:rPr>
          <w:rFonts w:ascii="Bookman Old Style" w:hAnsi="Bookman Old Style"/>
        </w:rPr>
        <w:t xml:space="preserve">00 </w:t>
      </w:r>
      <w:r w:rsidR="00EE0202">
        <w:rPr>
          <w:rFonts w:ascii="Bookman Old Style" w:hAnsi="Bookman Old Style"/>
        </w:rPr>
        <w:t>Woodlawn Driv</w:t>
      </w:r>
      <w:r w:rsidRPr="0089724E">
        <w:rPr>
          <w:rFonts w:ascii="Bookman Old Style" w:hAnsi="Bookman Old Style"/>
        </w:rPr>
        <w:t>e</w:t>
      </w:r>
    </w:p>
    <w:p w14:paraId="26301B73" w14:textId="773852C8" w:rsidR="0089724E" w:rsidRDefault="00EE0202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Baltimore, MD 21241-1500</w:t>
      </w:r>
    </w:p>
    <w:p w14:paraId="0C1A5632" w14:textId="69697EA0" w:rsidR="0089724E" w:rsidRDefault="0089724E" w:rsidP="0089724E">
      <w:pPr>
        <w:rPr>
          <w:rFonts w:ascii="Bookman Old Style" w:hAnsi="Bookman Old Style"/>
        </w:rPr>
      </w:pPr>
    </w:p>
    <w:p w14:paraId="0F2B9E63" w14:textId="12E35160" w:rsidR="0089724E" w:rsidRDefault="0089724E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RE:</w:t>
      </w:r>
      <w:r>
        <w:rPr>
          <w:rFonts w:ascii="Bookman Old Style" w:hAnsi="Bookman Old Style"/>
        </w:rPr>
        <w:tab/>
        <w:t>Gina Turcotte (aka “GinA none”)</w:t>
      </w:r>
    </w:p>
    <w:p w14:paraId="34A1DDB3" w14:textId="46CCAAE2" w:rsidR="0089724E" w:rsidRDefault="0089724E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Social Security #007-62-6083</w:t>
      </w:r>
    </w:p>
    <w:p w14:paraId="34C46D0E" w14:textId="4CDC4F44" w:rsidR="00EE0202" w:rsidRDefault="00EE0202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BNC#:</w:t>
      </w:r>
      <w:r>
        <w:rPr>
          <w:rFonts w:ascii="Bookman Old Style" w:hAnsi="Bookman Old Style"/>
        </w:rPr>
        <w:tab/>
        <w:t>21M1195J73217-A</w:t>
      </w:r>
    </w:p>
    <w:p w14:paraId="7BE0026A" w14:textId="5BC99A29" w:rsidR="0089724E" w:rsidRDefault="0089724E" w:rsidP="0089724E">
      <w:pPr>
        <w:rPr>
          <w:rFonts w:ascii="Bookman Old Style" w:hAnsi="Bookman Old Style"/>
        </w:rPr>
      </w:pPr>
    </w:p>
    <w:p w14:paraId="602C0842" w14:textId="3240079C" w:rsidR="0089724E" w:rsidRDefault="0089724E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To Whom It May Concern:</w:t>
      </w:r>
    </w:p>
    <w:p w14:paraId="5D70B8D9" w14:textId="48703A1E" w:rsidR="0089724E" w:rsidRDefault="0089724E" w:rsidP="0089724E">
      <w:pPr>
        <w:rPr>
          <w:rFonts w:ascii="Bookman Old Style" w:hAnsi="Bookman Old Style"/>
        </w:rPr>
      </w:pPr>
    </w:p>
    <w:p w14:paraId="7C162B96" w14:textId="77777777" w:rsidR="001F37D0" w:rsidRDefault="00A7261F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I am writing on behalf of Gina Turcotte (aka “GinA none”) </w:t>
      </w:r>
      <w:r w:rsidR="00EE0202">
        <w:rPr>
          <w:rFonts w:ascii="Bookman Old Style" w:hAnsi="Bookman Old Style"/>
        </w:rPr>
        <w:t xml:space="preserve">in response to your letter dated May 23, 2021 suspending her </w:t>
      </w:r>
      <w:r>
        <w:rPr>
          <w:rFonts w:ascii="Bookman Old Style" w:hAnsi="Bookman Old Style"/>
        </w:rPr>
        <w:t xml:space="preserve">Social Security Disability </w:t>
      </w:r>
      <w:r w:rsidR="00BB42FB">
        <w:rPr>
          <w:rFonts w:ascii="Bookman Old Style" w:hAnsi="Bookman Old Style"/>
        </w:rPr>
        <w:t xml:space="preserve">and Medicare </w:t>
      </w:r>
      <w:r>
        <w:rPr>
          <w:rFonts w:ascii="Bookman Old Style" w:hAnsi="Bookman Old Style"/>
        </w:rPr>
        <w:t>benefits.</w:t>
      </w:r>
      <w:r w:rsidR="00596115">
        <w:rPr>
          <w:rFonts w:ascii="Bookman Old Style" w:hAnsi="Bookman Old Style"/>
        </w:rPr>
        <w:t xml:space="preserve"> </w:t>
      </w:r>
    </w:p>
    <w:p w14:paraId="1D221E68" w14:textId="77777777" w:rsidR="001F37D0" w:rsidRDefault="001F37D0" w:rsidP="0089724E">
      <w:pPr>
        <w:rPr>
          <w:rFonts w:ascii="Bookman Old Style" w:hAnsi="Bookman Old Style"/>
        </w:rPr>
      </w:pPr>
    </w:p>
    <w:p w14:paraId="14727036" w14:textId="20E58590" w:rsidR="0089724E" w:rsidRDefault="00596115" w:rsidP="001F37D0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Ms. Turcotte understands</w:t>
      </w:r>
      <w:r w:rsidR="001F37D0">
        <w:rPr>
          <w:rFonts w:ascii="Bookman Old Style" w:hAnsi="Bookman Old Style"/>
        </w:rPr>
        <w:t xml:space="preserve"> and agrees</w:t>
      </w:r>
      <w:r>
        <w:rPr>
          <w:rFonts w:ascii="Bookman Old Style" w:hAnsi="Bookman Old Style"/>
        </w:rPr>
        <w:t xml:space="preserve"> that she received an overpayment of $14,577.70 dating back to January 2020.</w:t>
      </w:r>
    </w:p>
    <w:p w14:paraId="590B9378" w14:textId="2C2548CC" w:rsidR="00A7261F" w:rsidRDefault="00A7261F" w:rsidP="0089724E">
      <w:pPr>
        <w:rPr>
          <w:rFonts w:ascii="Bookman Old Style" w:hAnsi="Bookman Old Style"/>
        </w:rPr>
      </w:pPr>
    </w:p>
    <w:p w14:paraId="357381ED" w14:textId="17E434D9" w:rsidR="00BB42FB" w:rsidRDefault="00A7261F" w:rsidP="008972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Ms. Turcotte </w:t>
      </w:r>
      <w:r w:rsidR="00BB42FB">
        <w:rPr>
          <w:rFonts w:ascii="Bookman Old Style" w:hAnsi="Bookman Old Style"/>
        </w:rPr>
        <w:t>agrees with</w:t>
      </w:r>
      <w:r w:rsidR="00EE0202">
        <w:rPr>
          <w:rFonts w:ascii="Bookman Old Style" w:hAnsi="Bookman Old Style"/>
        </w:rPr>
        <w:t xml:space="preserve"> your wage calculations</w:t>
      </w:r>
      <w:r w:rsidR="00BB42FB">
        <w:rPr>
          <w:rFonts w:ascii="Bookman Old Style" w:hAnsi="Bookman Old Style"/>
        </w:rPr>
        <w:t>,</w:t>
      </w:r>
      <w:r w:rsidR="00EE0202">
        <w:rPr>
          <w:rFonts w:ascii="Bookman Old Style" w:hAnsi="Bookman Old Style"/>
        </w:rPr>
        <w:t xml:space="preserve"> your determination that she </w:t>
      </w:r>
      <w:r w:rsidR="00596115">
        <w:rPr>
          <w:rFonts w:ascii="Bookman Old Style" w:hAnsi="Bookman Old Style"/>
        </w:rPr>
        <w:t>became</w:t>
      </w:r>
      <w:r w:rsidR="00EE0202">
        <w:rPr>
          <w:rFonts w:ascii="Bookman Old Style" w:hAnsi="Bookman Old Style"/>
        </w:rPr>
        <w:t xml:space="preserve"> </w:t>
      </w:r>
      <w:r w:rsidR="00596115">
        <w:rPr>
          <w:rFonts w:ascii="Bookman Old Style" w:hAnsi="Bookman Old Style"/>
        </w:rPr>
        <w:t>in</w:t>
      </w:r>
      <w:r w:rsidR="00EE0202">
        <w:rPr>
          <w:rFonts w:ascii="Bookman Old Style" w:hAnsi="Bookman Old Style"/>
        </w:rPr>
        <w:t>eligible for Social Security Disability benefits</w:t>
      </w:r>
      <w:r w:rsidR="00596115">
        <w:rPr>
          <w:rFonts w:ascii="Bookman Old Style" w:hAnsi="Bookman Old Style"/>
        </w:rPr>
        <w:t xml:space="preserve"> as of January 2020, </w:t>
      </w:r>
      <w:r w:rsidR="00EE0202">
        <w:rPr>
          <w:rFonts w:ascii="Bookman Old Style" w:hAnsi="Bookman Old Style"/>
        </w:rPr>
        <w:t xml:space="preserve"> </w:t>
      </w:r>
      <w:r w:rsidR="00596115">
        <w:rPr>
          <w:rFonts w:ascii="Bookman Old Style" w:hAnsi="Bookman Old Style"/>
        </w:rPr>
        <w:t>and that because she is no longer eligible for disability benefits, her</w:t>
      </w:r>
      <w:r w:rsidR="00EE0202">
        <w:rPr>
          <w:rFonts w:ascii="Bookman Old Style" w:hAnsi="Bookman Old Style"/>
        </w:rPr>
        <w:t xml:space="preserve"> hospital and medical insurance coverage </w:t>
      </w:r>
      <w:r w:rsidR="00BB42FB">
        <w:rPr>
          <w:rFonts w:ascii="Bookman Old Style" w:hAnsi="Bookman Old Style"/>
        </w:rPr>
        <w:t xml:space="preserve">will end </w:t>
      </w:r>
      <w:r w:rsidR="00EE0202">
        <w:rPr>
          <w:rFonts w:ascii="Bookman Old Style" w:hAnsi="Bookman Old Style"/>
        </w:rPr>
        <w:t>under Medicare</w:t>
      </w:r>
      <w:r>
        <w:rPr>
          <w:rFonts w:ascii="Bookman Old Style" w:hAnsi="Bookman Old Style"/>
        </w:rPr>
        <w:t xml:space="preserve">. </w:t>
      </w:r>
    </w:p>
    <w:p w14:paraId="23BD9A8C" w14:textId="77777777" w:rsidR="00BB42FB" w:rsidRDefault="00BB42FB" w:rsidP="0089724E">
      <w:pPr>
        <w:rPr>
          <w:rFonts w:ascii="Bookman Old Style" w:hAnsi="Bookman Old Style"/>
        </w:rPr>
      </w:pPr>
    </w:p>
    <w:p w14:paraId="51E5F72F" w14:textId="01092E17" w:rsidR="00CD0D3F" w:rsidRPr="00EE0202" w:rsidRDefault="00EE0202" w:rsidP="00BB42FB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Ms. Turcotte understands </w:t>
      </w:r>
      <w:r w:rsidR="00596115">
        <w:rPr>
          <w:rFonts w:ascii="Bookman Old Style" w:hAnsi="Bookman Old Style"/>
        </w:rPr>
        <w:t xml:space="preserve">that </w:t>
      </w:r>
      <w:r>
        <w:rPr>
          <w:rFonts w:ascii="Bookman Old Style" w:hAnsi="Bookman Old Style"/>
        </w:rPr>
        <w:t xml:space="preserve">her hospital and medical insurance coverage </w:t>
      </w:r>
      <w:r w:rsidR="00BB42FB">
        <w:rPr>
          <w:rFonts w:ascii="Bookman Old Style" w:hAnsi="Bookman Old Style"/>
        </w:rPr>
        <w:t xml:space="preserve">will end </w:t>
      </w:r>
      <w:r>
        <w:rPr>
          <w:rFonts w:ascii="Bookman Old Style" w:hAnsi="Bookman Old Style"/>
        </w:rPr>
        <w:t xml:space="preserve">on </w:t>
      </w:r>
      <w:r>
        <w:rPr>
          <w:rFonts w:ascii="Bookman Old Style" w:hAnsi="Bookman Old Style"/>
          <w:b/>
          <w:u w:val="single"/>
        </w:rPr>
        <w:t>the last day of June 2026, as stated in the letter.</w:t>
      </w:r>
      <w:r w:rsidR="00331C16">
        <w:rPr>
          <w:rFonts w:ascii="Bookman Old Style" w:hAnsi="Bookman Old Style"/>
          <w:b/>
          <w:u w:val="single"/>
        </w:rPr>
        <w:t xml:space="preserve"> If the year 2026 is an error, please correct in a follow-up letter.</w:t>
      </w:r>
    </w:p>
    <w:p w14:paraId="463F423F" w14:textId="77777777" w:rsidR="00CD0D3F" w:rsidRDefault="00CD0D3F" w:rsidP="0089724E">
      <w:pPr>
        <w:rPr>
          <w:rFonts w:ascii="Bookman Old Style" w:hAnsi="Bookman Old Style"/>
        </w:rPr>
      </w:pPr>
    </w:p>
    <w:p w14:paraId="583CFC81" w14:textId="0EB9AF5B" w:rsidR="001F37D0" w:rsidRDefault="001F37D0" w:rsidP="00450D60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Ms. Turcotte does not </w:t>
      </w:r>
      <w:r w:rsidR="008D2DEA">
        <w:rPr>
          <w:rFonts w:ascii="Bookman Old Style" w:hAnsi="Bookman Old Style"/>
        </w:rPr>
        <w:t xml:space="preserve">currently </w:t>
      </w:r>
      <w:r>
        <w:rPr>
          <w:rFonts w:ascii="Bookman Old Style" w:hAnsi="Bookman Old Style"/>
        </w:rPr>
        <w:t xml:space="preserve">have $14,577.70 in </w:t>
      </w:r>
      <w:r w:rsidR="008D2DEA">
        <w:rPr>
          <w:rFonts w:ascii="Bookman Old Style" w:hAnsi="Bookman Old Style"/>
        </w:rPr>
        <w:t xml:space="preserve">cash or </w:t>
      </w:r>
      <w:r w:rsidR="00322385">
        <w:rPr>
          <w:rFonts w:ascii="Bookman Old Style" w:hAnsi="Bookman Old Style"/>
        </w:rPr>
        <w:t xml:space="preserve">liquid </w:t>
      </w:r>
      <w:r w:rsidR="008D2DEA">
        <w:rPr>
          <w:rFonts w:ascii="Bookman Old Style" w:hAnsi="Bookman Old Style"/>
        </w:rPr>
        <w:t>assets,</w:t>
      </w:r>
      <w:r>
        <w:rPr>
          <w:rFonts w:ascii="Bookman Old Style" w:hAnsi="Bookman Old Style"/>
        </w:rPr>
        <w:t xml:space="preserve"> so she is not able to </w:t>
      </w:r>
      <w:r w:rsidR="00322385">
        <w:rPr>
          <w:rFonts w:ascii="Bookman Old Style" w:hAnsi="Bookman Old Style"/>
        </w:rPr>
        <w:t>full</w:t>
      </w:r>
      <w:r w:rsidR="00322385">
        <w:rPr>
          <w:rFonts w:ascii="Bookman Old Style" w:hAnsi="Bookman Old Style"/>
        </w:rPr>
        <w:t>y</w:t>
      </w:r>
      <w:r w:rsidR="0032238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refund this overpayment at this time. </w:t>
      </w:r>
      <w:r w:rsidR="00A7261F">
        <w:rPr>
          <w:rFonts w:ascii="Bookman Old Style" w:hAnsi="Bookman Old Style"/>
        </w:rPr>
        <w:t xml:space="preserve">Because Ms. Turcotte does not have a </w:t>
      </w:r>
      <w:r w:rsidR="00BB42FB">
        <w:rPr>
          <w:rFonts w:ascii="Bookman Old Style" w:hAnsi="Bookman Old Style"/>
        </w:rPr>
        <w:t>predictable</w:t>
      </w:r>
      <w:r w:rsidR="00A7261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monthly </w:t>
      </w:r>
      <w:r w:rsidR="00A7261F">
        <w:rPr>
          <w:rFonts w:ascii="Bookman Old Style" w:hAnsi="Bookman Old Style"/>
        </w:rPr>
        <w:t>income</w:t>
      </w:r>
      <w:r w:rsidR="00CD0D3F">
        <w:rPr>
          <w:rFonts w:ascii="Bookman Old Style" w:hAnsi="Bookman Old Style"/>
        </w:rPr>
        <w:t xml:space="preserve">, </w:t>
      </w:r>
      <w:r w:rsidR="00BB42FB">
        <w:rPr>
          <w:rFonts w:ascii="Bookman Old Style" w:hAnsi="Bookman Old Style"/>
        </w:rPr>
        <w:t xml:space="preserve">she </w:t>
      </w:r>
      <w:r w:rsidR="00EE0202">
        <w:rPr>
          <w:rFonts w:ascii="Bookman Old Style" w:hAnsi="Bookman Old Style"/>
        </w:rPr>
        <w:t xml:space="preserve">cannot </w:t>
      </w:r>
      <w:r w:rsidR="008D2DEA">
        <w:rPr>
          <w:rFonts w:ascii="Bookman Old Style" w:hAnsi="Bookman Old Style"/>
        </w:rPr>
        <w:t xml:space="preserve">predict her </w:t>
      </w:r>
      <w:r w:rsidR="00EE0202">
        <w:rPr>
          <w:rFonts w:ascii="Bookman Old Style" w:hAnsi="Bookman Old Style"/>
        </w:rPr>
        <w:t>future wages</w:t>
      </w:r>
      <w:r>
        <w:rPr>
          <w:rFonts w:ascii="Bookman Old Style" w:hAnsi="Bookman Old Style"/>
        </w:rPr>
        <w:t xml:space="preserve">. </w:t>
      </w:r>
    </w:p>
    <w:p w14:paraId="12910F6A" w14:textId="77777777" w:rsidR="001F37D0" w:rsidRDefault="001F37D0" w:rsidP="00450D60">
      <w:pPr>
        <w:ind w:firstLine="720"/>
        <w:rPr>
          <w:rFonts w:ascii="Bookman Old Style" w:hAnsi="Bookman Old Style"/>
        </w:rPr>
      </w:pPr>
    </w:p>
    <w:p w14:paraId="4EEEED1F" w14:textId="67D1135E" w:rsidR="001F37D0" w:rsidRDefault="001F37D0" w:rsidP="00450D60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order to allow Ms. Turcotte to retain enough of her monthly income to pay her living expenses, she </w:t>
      </w:r>
      <w:r w:rsidR="008D2DEA">
        <w:rPr>
          <w:rFonts w:ascii="Bookman Old Style" w:hAnsi="Bookman Old Style"/>
        </w:rPr>
        <w:t>will</w:t>
      </w:r>
      <w:r>
        <w:rPr>
          <w:rFonts w:ascii="Bookman Old Style" w:hAnsi="Bookman Old Style"/>
        </w:rPr>
        <w:t xml:space="preserve"> commit to refunding at least $500 per month</w:t>
      </w:r>
      <w:r w:rsidR="00322385">
        <w:rPr>
          <w:rFonts w:ascii="Bookman Old Style" w:hAnsi="Bookman Old Style"/>
        </w:rPr>
        <w:t xml:space="preserve"> to the Social Security Administration</w:t>
      </w:r>
      <w:r>
        <w:rPr>
          <w:rFonts w:ascii="Bookman Old Style" w:hAnsi="Bookman Old Style"/>
        </w:rPr>
        <w:t xml:space="preserve">. When Ms. Turcotte has a </w:t>
      </w:r>
      <w:r w:rsidR="00322385">
        <w:rPr>
          <w:rFonts w:ascii="Bookman Old Style" w:hAnsi="Bookman Old Style"/>
        </w:rPr>
        <w:t xml:space="preserve">more </w:t>
      </w:r>
      <w:r>
        <w:rPr>
          <w:rFonts w:ascii="Bookman Old Style" w:hAnsi="Bookman Old Style"/>
        </w:rPr>
        <w:t>profitable month that will allow her to pay more than $500, she is willing to make larger payments as they are possible.</w:t>
      </w:r>
    </w:p>
    <w:p w14:paraId="7EFD48EC" w14:textId="77777777" w:rsidR="00652539" w:rsidRDefault="00652539" w:rsidP="0089724E">
      <w:pPr>
        <w:rPr>
          <w:rFonts w:ascii="Bookman Old Style" w:hAnsi="Bookman Old Style"/>
        </w:rPr>
      </w:pPr>
    </w:p>
    <w:p w14:paraId="20275EC7" w14:textId="216BADB8" w:rsidR="00904E67" w:rsidRDefault="00904E67" w:rsidP="00904E67">
      <w:pPr>
        <w:ind w:firstLine="720"/>
        <w:rPr>
          <w:rFonts w:ascii="Bookman Old Style" w:hAnsi="Bookman Old Style"/>
        </w:rPr>
      </w:pPr>
    </w:p>
    <w:p w14:paraId="72CADDBC" w14:textId="77777777" w:rsidR="003D1CE6" w:rsidRDefault="00904E67" w:rsidP="00904E67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Please </w:t>
      </w:r>
      <w:r w:rsidR="008D2DEA">
        <w:rPr>
          <w:rFonts w:ascii="Bookman Old Style" w:hAnsi="Bookman Old Style"/>
        </w:rPr>
        <w:t>provide</w:t>
      </w:r>
      <w:r>
        <w:rPr>
          <w:rFonts w:ascii="Bookman Old Style" w:hAnsi="Bookman Old Style"/>
        </w:rPr>
        <w:t xml:space="preserve"> </w:t>
      </w:r>
      <w:r w:rsidR="008D2DEA">
        <w:rPr>
          <w:rFonts w:ascii="Bookman Old Style" w:hAnsi="Bookman Old Style"/>
        </w:rPr>
        <w:t xml:space="preserve">Ms. Turcotte or </w:t>
      </w:r>
      <w:r>
        <w:rPr>
          <w:rFonts w:ascii="Bookman Old Style" w:hAnsi="Bookman Old Style"/>
        </w:rPr>
        <w:t xml:space="preserve">my office </w:t>
      </w:r>
      <w:r w:rsidR="008D2DEA">
        <w:rPr>
          <w:rFonts w:ascii="Bookman Old Style" w:hAnsi="Bookman Old Style"/>
        </w:rPr>
        <w:t xml:space="preserve">with your written agreement to accept at least $500 per month from her as her refund payments, and that she will be allowed to make larger payments when it’s possible. </w:t>
      </w:r>
    </w:p>
    <w:p w14:paraId="5DF6ADDD" w14:textId="77777777" w:rsidR="003D1CE6" w:rsidRDefault="003D1CE6" w:rsidP="00904E67">
      <w:pPr>
        <w:ind w:firstLine="720"/>
        <w:rPr>
          <w:rFonts w:ascii="Bookman Old Style" w:hAnsi="Bookman Old Style"/>
        </w:rPr>
      </w:pPr>
    </w:p>
    <w:p w14:paraId="7EF7C472" w14:textId="0686624E" w:rsidR="008D2DEA" w:rsidRDefault="008D2DEA" w:rsidP="00904E67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Ms. Turcotte </w:t>
      </w:r>
      <w:r w:rsidR="003D1CE6">
        <w:rPr>
          <w:rFonts w:ascii="Bookman Old Style" w:hAnsi="Bookman Old Style"/>
        </w:rPr>
        <w:t>agrees to</w:t>
      </w:r>
      <w:r>
        <w:rPr>
          <w:rFonts w:ascii="Bookman Old Style" w:hAnsi="Bookman Old Style"/>
        </w:rPr>
        <w:t xml:space="preserve"> make regular monthly payments of at least $500 per month until the full overpayment of $14,577.70 is refunded to the Social Security Administration.</w:t>
      </w:r>
    </w:p>
    <w:p w14:paraId="6C75F6C4" w14:textId="0488B265" w:rsidR="003D1CE6" w:rsidRDefault="003D1CE6" w:rsidP="00904E67">
      <w:pPr>
        <w:ind w:firstLine="720"/>
        <w:rPr>
          <w:rFonts w:ascii="Bookman Old Style" w:hAnsi="Bookman Old Style"/>
        </w:rPr>
      </w:pPr>
    </w:p>
    <w:p w14:paraId="0B308378" w14:textId="76E7D3AC" w:rsidR="003D1CE6" w:rsidRDefault="003D1CE6" w:rsidP="00904E67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Ms. Turcotte is prepared to make her first payment on July 1, 2021 upon her receipt of your </w:t>
      </w:r>
      <w:r w:rsidR="001838FE">
        <w:rPr>
          <w:rFonts w:ascii="Bookman Old Style" w:hAnsi="Bookman Old Style"/>
        </w:rPr>
        <w:t xml:space="preserve">written </w:t>
      </w:r>
      <w:r>
        <w:rPr>
          <w:rFonts w:ascii="Bookman Old Style" w:hAnsi="Bookman Old Style"/>
        </w:rPr>
        <w:t xml:space="preserve">agreement and </w:t>
      </w:r>
      <w:r w:rsidR="001838FE">
        <w:rPr>
          <w:rFonts w:ascii="Bookman Old Style" w:hAnsi="Bookman Old Style"/>
        </w:rPr>
        <w:t xml:space="preserve">web </w:t>
      </w:r>
      <w:r>
        <w:rPr>
          <w:rFonts w:ascii="Bookman Old Style" w:hAnsi="Bookman Old Style"/>
        </w:rPr>
        <w:t xml:space="preserve">address of </w:t>
      </w:r>
      <w:r w:rsidR="001838FE">
        <w:rPr>
          <w:rFonts w:ascii="Bookman Old Style" w:hAnsi="Bookman Old Style"/>
        </w:rPr>
        <w:t xml:space="preserve">an </w:t>
      </w:r>
      <w:r>
        <w:rPr>
          <w:rFonts w:ascii="Bookman Old Style" w:hAnsi="Bookman Old Style"/>
        </w:rPr>
        <w:t>online payment portal that may be available for her payments.</w:t>
      </w:r>
      <w:bookmarkStart w:id="0" w:name="_GoBack"/>
      <w:bookmarkEnd w:id="0"/>
    </w:p>
    <w:p w14:paraId="6309A103" w14:textId="77777777" w:rsidR="005E65F6" w:rsidRDefault="005E65F6" w:rsidP="0041457D">
      <w:pPr>
        <w:rPr>
          <w:rFonts w:ascii="Bookman Old Style" w:hAnsi="Bookman Old Style"/>
        </w:rPr>
      </w:pPr>
    </w:p>
    <w:p w14:paraId="0372CD88" w14:textId="77777777" w:rsidR="005E65F6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Very truly yours,</w:t>
      </w:r>
    </w:p>
    <w:p w14:paraId="66437AEC" w14:textId="77777777" w:rsidR="001E7AB5" w:rsidRDefault="001E7AB5" w:rsidP="0041457D">
      <w:pPr>
        <w:rPr>
          <w:rFonts w:ascii="Bookman Old Style" w:hAnsi="Bookman Old Style"/>
        </w:rPr>
      </w:pPr>
    </w:p>
    <w:p w14:paraId="45CFA97E" w14:textId="77777777" w:rsidR="00B77D12" w:rsidRDefault="00B77D12" w:rsidP="0041457D">
      <w:pPr>
        <w:rPr>
          <w:rFonts w:ascii="Bookman Old Style" w:hAnsi="Bookman Old Style"/>
        </w:rPr>
      </w:pPr>
    </w:p>
    <w:p w14:paraId="4AA626FB" w14:textId="77777777" w:rsidR="001E7AB5" w:rsidRDefault="001E7AB5" w:rsidP="0041457D">
      <w:pPr>
        <w:rPr>
          <w:rFonts w:ascii="Bookman Old Style" w:hAnsi="Bookman Old Style"/>
        </w:rPr>
      </w:pPr>
    </w:p>
    <w:p w14:paraId="63324DB6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Jed Davis, Esq, ME Bar No. 001686</w:t>
      </w:r>
    </w:p>
    <w:p w14:paraId="1BDC39DA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Jim Mitchell and Jed Davis, P.A.</w:t>
      </w:r>
    </w:p>
    <w:p w14:paraId="6AA427E6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86 Winthrop Street, Suite One</w:t>
      </w:r>
    </w:p>
    <w:p w14:paraId="369B9C3D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Augusta, Maine 04330</w:t>
      </w:r>
    </w:p>
    <w:p w14:paraId="0AC5A967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(207) 622-6339</w:t>
      </w:r>
    </w:p>
    <w:p w14:paraId="5C0094B4" w14:textId="77777777" w:rsidR="001E7AB5" w:rsidRDefault="001E7AB5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hyperlink r:id="rId8" w:history="1">
        <w:r w:rsidRPr="00AD7F4B">
          <w:rPr>
            <w:rStyle w:val="Hyperlink"/>
            <w:rFonts w:ascii="Bookman Old Style" w:hAnsi="Bookman Old Style"/>
          </w:rPr>
          <w:t>jed@mitchellanddavis.com</w:t>
        </w:r>
      </w:hyperlink>
      <w:r>
        <w:rPr>
          <w:rFonts w:ascii="Bookman Old Style" w:hAnsi="Bookman Old Style"/>
        </w:rPr>
        <w:t xml:space="preserve"> </w:t>
      </w:r>
    </w:p>
    <w:p w14:paraId="1D55B7C0" w14:textId="77777777" w:rsidR="00195F2E" w:rsidRDefault="00195F2E" w:rsidP="0041457D">
      <w:pPr>
        <w:rPr>
          <w:rFonts w:ascii="Bookman Old Style" w:hAnsi="Bookman Old Style"/>
        </w:rPr>
      </w:pPr>
    </w:p>
    <w:p w14:paraId="7C770BFA" w14:textId="7643B595" w:rsidR="00195F2E" w:rsidRDefault="00195F2E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JD:gt</w:t>
      </w:r>
    </w:p>
    <w:p w14:paraId="1E9A0393" w14:textId="6EF154A7" w:rsidR="003D1CE6" w:rsidRPr="00D0350D" w:rsidRDefault="003D1CE6" w:rsidP="0041457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Cc:</w:t>
      </w:r>
      <w:r>
        <w:rPr>
          <w:rFonts w:ascii="Bookman Old Style" w:hAnsi="Bookman Old Style"/>
        </w:rPr>
        <w:tab/>
        <w:t>GinA (Turcotte)</w:t>
      </w:r>
    </w:p>
    <w:sectPr w:rsidR="003D1CE6" w:rsidRPr="00D0350D" w:rsidSect="00FF4DA7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F1A7A" w14:textId="77777777" w:rsidR="00AB12AD" w:rsidRDefault="00AB12AD">
      <w:r>
        <w:separator/>
      </w:r>
    </w:p>
  </w:endnote>
  <w:endnote w:type="continuationSeparator" w:id="0">
    <w:p w14:paraId="3685232D" w14:textId="77777777" w:rsidR="00AB12AD" w:rsidRDefault="00AB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78736" w14:textId="77777777" w:rsidR="00AB12AD" w:rsidRDefault="00AB12AD">
      <w:r>
        <w:separator/>
      </w:r>
    </w:p>
  </w:footnote>
  <w:footnote w:type="continuationSeparator" w:id="0">
    <w:p w14:paraId="0A96095B" w14:textId="77777777" w:rsidR="00AB12AD" w:rsidRDefault="00AB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14E43"/>
    <w:multiLevelType w:val="hybridMultilevel"/>
    <w:tmpl w:val="37C29A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354F1A"/>
    <w:multiLevelType w:val="hybridMultilevel"/>
    <w:tmpl w:val="B358D4D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C208F6"/>
    <w:multiLevelType w:val="hybridMultilevel"/>
    <w:tmpl w:val="100021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86C3BBC"/>
    <w:multiLevelType w:val="hybridMultilevel"/>
    <w:tmpl w:val="C3F657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B2ECE"/>
    <w:multiLevelType w:val="hybridMultilevel"/>
    <w:tmpl w:val="7E0AC1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7803393"/>
    <w:multiLevelType w:val="hybridMultilevel"/>
    <w:tmpl w:val="817E2B5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0230CF"/>
    <w:multiLevelType w:val="hybridMultilevel"/>
    <w:tmpl w:val="F3826E32"/>
    <w:lvl w:ilvl="0" w:tplc="1E1696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E3C5B"/>
    <w:multiLevelType w:val="hybridMultilevel"/>
    <w:tmpl w:val="641866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D030DC7"/>
    <w:multiLevelType w:val="hybridMultilevel"/>
    <w:tmpl w:val="7BFC16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5AD6AB9"/>
    <w:multiLevelType w:val="hybridMultilevel"/>
    <w:tmpl w:val="155E2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E20838"/>
    <w:multiLevelType w:val="hybridMultilevel"/>
    <w:tmpl w:val="BC86FD58"/>
    <w:lvl w:ilvl="0" w:tplc="A40C0A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3001ED"/>
    <w:multiLevelType w:val="hybridMultilevel"/>
    <w:tmpl w:val="B2A86A3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4E"/>
    <w:rsid w:val="000016B4"/>
    <w:rsid w:val="00006267"/>
    <w:rsid w:val="0009439A"/>
    <w:rsid w:val="000B3C30"/>
    <w:rsid w:val="000E67FB"/>
    <w:rsid w:val="000E777D"/>
    <w:rsid w:val="001111A8"/>
    <w:rsid w:val="0013430A"/>
    <w:rsid w:val="001838FE"/>
    <w:rsid w:val="00192163"/>
    <w:rsid w:val="00195F2E"/>
    <w:rsid w:val="001B15F1"/>
    <w:rsid w:val="001C40E7"/>
    <w:rsid w:val="001D4341"/>
    <w:rsid w:val="001E7A16"/>
    <w:rsid w:val="001E7AB5"/>
    <w:rsid w:val="001F37D0"/>
    <w:rsid w:val="002030F9"/>
    <w:rsid w:val="00210E9F"/>
    <w:rsid w:val="00217116"/>
    <w:rsid w:val="00217747"/>
    <w:rsid w:val="00234592"/>
    <w:rsid w:val="00250839"/>
    <w:rsid w:val="00260BBC"/>
    <w:rsid w:val="002E5E39"/>
    <w:rsid w:val="002F277A"/>
    <w:rsid w:val="00322385"/>
    <w:rsid w:val="00331C16"/>
    <w:rsid w:val="00331C81"/>
    <w:rsid w:val="003504C1"/>
    <w:rsid w:val="00395060"/>
    <w:rsid w:val="0039740E"/>
    <w:rsid w:val="003A38D8"/>
    <w:rsid w:val="003B12C8"/>
    <w:rsid w:val="003D1CE6"/>
    <w:rsid w:val="003E4E30"/>
    <w:rsid w:val="0041457D"/>
    <w:rsid w:val="00420AB9"/>
    <w:rsid w:val="00420EF3"/>
    <w:rsid w:val="00432FC3"/>
    <w:rsid w:val="00450D60"/>
    <w:rsid w:val="00473A1E"/>
    <w:rsid w:val="00474262"/>
    <w:rsid w:val="004B27AD"/>
    <w:rsid w:val="004B3E6D"/>
    <w:rsid w:val="004B538D"/>
    <w:rsid w:val="004C01CD"/>
    <w:rsid w:val="004F1B76"/>
    <w:rsid w:val="004F2BB6"/>
    <w:rsid w:val="004F79A3"/>
    <w:rsid w:val="00511D74"/>
    <w:rsid w:val="005211AA"/>
    <w:rsid w:val="005251C4"/>
    <w:rsid w:val="00570CCF"/>
    <w:rsid w:val="00596115"/>
    <w:rsid w:val="005A0B74"/>
    <w:rsid w:val="005B7715"/>
    <w:rsid w:val="005D1037"/>
    <w:rsid w:val="005E65F6"/>
    <w:rsid w:val="005E71CF"/>
    <w:rsid w:val="005F3680"/>
    <w:rsid w:val="00623827"/>
    <w:rsid w:val="00652539"/>
    <w:rsid w:val="00666170"/>
    <w:rsid w:val="006764FF"/>
    <w:rsid w:val="006E2D49"/>
    <w:rsid w:val="006F6B5F"/>
    <w:rsid w:val="00743584"/>
    <w:rsid w:val="00780107"/>
    <w:rsid w:val="00782A5F"/>
    <w:rsid w:val="007B4FE6"/>
    <w:rsid w:val="007C3664"/>
    <w:rsid w:val="007D0346"/>
    <w:rsid w:val="007D196A"/>
    <w:rsid w:val="007E0FED"/>
    <w:rsid w:val="007F340A"/>
    <w:rsid w:val="008307AF"/>
    <w:rsid w:val="0083235E"/>
    <w:rsid w:val="00837E88"/>
    <w:rsid w:val="00853037"/>
    <w:rsid w:val="00856FE3"/>
    <w:rsid w:val="008578EB"/>
    <w:rsid w:val="00874F4F"/>
    <w:rsid w:val="00880870"/>
    <w:rsid w:val="00882950"/>
    <w:rsid w:val="008854E4"/>
    <w:rsid w:val="0089724E"/>
    <w:rsid w:val="008B3F88"/>
    <w:rsid w:val="008B6F45"/>
    <w:rsid w:val="008D2DEA"/>
    <w:rsid w:val="008F72ED"/>
    <w:rsid w:val="00904E67"/>
    <w:rsid w:val="00906126"/>
    <w:rsid w:val="009114D7"/>
    <w:rsid w:val="00923381"/>
    <w:rsid w:val="00935A14"/>
    <w:rsid w:val="00943788"/>
    <w:rsid w:val="00964D62"/>
    <w:rsid w:val="00966FEF"/>
    <w:rsid w:val="0097206B"/>
    <w:rsid w:val="00990FF4"/>
    <w:rsid w:val="00992473"/>
    <w:rsid w:val="009D0F05"/>
    <w:rsid w:val="009E5C74"/>
    <w:rsid w:val="00A14990"/>
    <w:rsid w:val="00A36460"/>
    <w:rsid w:val="00A425A7"/>
    <w:rsid w:val="00A42AB5"/>
    <w:rsid w:val="00A44E00"/>
    <w:rsid w:val="00A52914"/>
    <w:rsid w:val="00A7261F"/>
    <w:rsid w:val="00AB12AD"/>
    <w:rsid w:val="00AB55A2"/>
    <w:rsid w:val="00AC39EC"/>
    <w:rsid w:val="00AD46D2"/>
    <w:rsid w:val="00AF7CCC"/>
    <w:rsid w:val="00B05B9D"/>
    <w:rsid w:val="00B05FA0"/>
    <w:rsid w:val="00B33CA3"/>
    <w:rsid w:val="00B5651D"/>
    <w:rsid w:val="00B77D12"/>
    <w:rsid w:val="00B913B1"/>
    <w:rsid w:val="00BB0D43"/>
    <w:rsid w:val="00BB42FB"/>
    <w:rsid w:val="00BC4136"/>
    <w:rsid w:val="00BC57B0"/>
    <w:rsid w:val="00BE0F70"/>
    <w:rsid w:val="00BE373B"/>
    <w:rsid w:val="00C44552"/>
    <w:rsid w:val="00C54A53"/>
    <w:rsid w:val="00C567E3"/>
    <w:rsid w:val="00C57079"/>
    <w:rsid w:val="00C62F44"/>
    <w:rsid w:val="00C93D6E"/>
    <w:rsid w:val="00CA0D34"/>
    <w:rsid w:val="00CD0D3F"/>
    <w:rsid w:val="00CD420C"/>
    <w:rsid w:val="00CE4C87"/>
    <w:rsid w:val="00CE558D"/>
    <w:rsid w:val="00CE6A0B"/>
    <w:rsid w:val="00D0350D"/>
    <w:rsid w:val="00D240F9"/>
    <w:rsid w:val="00D5783D"/>
    <w:rsid w:val="00D6345C"/>
    <w:rsid w:val="00D6470C"/>
    <w:rsid w:val="00D71B5C"/>
    <w:rsid w:val="00D8498C"/>
    <w:rsid w:val="00DB0A1A"/>
    <w:rsid w:val="00DB1249"/>
    <w:rsid w:val="00E077C3"/>
    <w:rsid w:val="00E0795F"/>
    <w:rsid w:val="00E45EA7"/>
    <w:rsid w:val="00E542FC"/>
    <w:rsid w:val="00E74D96"/>
    <w:rsid w:val="00E811E3"/>
    <w:rsid w:val="00E817D9"/>
    <w:rsid w:val="00E92784"/>
    <w:rsid w:val="00EA5CDF"/>
    <w:rsid w:val="00EB25F9"/>
    <w:rsid w:val="00EB2E24"/>
    <w:rsid w:val="00EE0202"/>
    <w:rsid w:val="00F07F9B"/>
    <w:rsid w:val="00F11455"/>
    <w:rsid w:val="00F13362"/>
    <w:rsid w:val="00F43203"/>
    <w:rsid w:val="00F73FF8"/>
    <w:rsid w:val="00FB2B6F"/>
    <w:rsid w:val="00FE3B0E"/>
    <w:rsid w:val="00FE75A9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B3934"/>
  <w15:docId w15:val="{288E8A19-D870-4CC1-A45F-BA8C0D37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C81"/>
    <w:rPr>
      <w:sz w:val="24"/>
      <w:szCs w:val="24"/>
    </w:rPr>
  </w:style>
  <w:style w:type="paragraph" w:styleId="Heading1">
    <w:name w:val="heading 1"/>
    <w:basedOn w:val="Normal"/>
    <w:next w:val="Normal"/>
    <w:qFormat/>
    <w:rsid w:val="00331C8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31C81"/>
    <w:pPr>
      <w:keepNext/>
      <w:jc w:val="center"/>
      <w:outlineLvl w:val="1"/>
    </w:pPr>
    <w:rPr>
      <w:rFonts w:ascii="Book Antiqua" w:hAnsi="Book Antiqua"/>
      <w:b/>
      <w:bCs/>
      <w:i/>
      <w:iCs/>
      <w:sz w:val="18"/>
    </w:rPr>
  </w:style>
  <w:style w:type="paragraph" w:styleId="Heading3">
    <w:name w:val="heading 3"/>
    <w:basedOn w:val="Normal"/>
    <w:next w:val="Normal"/>
    <w:qFormat/>
    <w:rsid w:val="00331C81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31C81"/>
    <w:pPr>
      <w:keepNext/>
      <w:ind w:right="-720"/>
      <w:outlineLvl w:val="3"/>
    </w:pPr>
    <w:rPr>
      <w:rFonts w:ascii="Monotype Corsiva" w:hAnsi="Monotype Corsiva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1C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1C8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331C81"/>
    <w:pPr>
      <w:jc w:val="center"/>
    </w:pPr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8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0795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37E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7E8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5291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1457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A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7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@mitchellanddav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templates\mandd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FCF9-E238-46C6-8F6B-06A415B6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mandd-letterhead-template.dotx</Template>
  <TotalTime>36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Jim  Mitchell  and  Jed Davis, P</vt:lpstr>
    </vt:vector>
  </TitlesOfParts>
  <Company>Hewlett-Packard Company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 Mitchell  and  Jed Davis, P</dc:title>
  <dc:creator>GinA</dc:creator>
  <cp:lastModifiedBy>GinA</cp:lastModifiedBy>
  <cp:revision>10</cp:revision>
  <cp:lastPrinted>2019-10-22T16:34:00Z</cp:lastPrinted>
  <dcterms:created xsi:type="dcterms:W3CDTF">2021-06-16T00:39:00Z</dcterms:created>
  <dcterms:modified xsi:type="dcterms:W3CDTF">2021-06-16T01:15:00Z</dcterms:modified>
</cp:coreProperties>
</file>